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BDEE" w14:textId="77777777" w:rsidR="005565F5" w:rsidRDefault="005565F5" w:rsidP="00F371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2020, amendments were made to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Public Health Act 2005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other legislation</w:t>
      </w:r>
      <w:r w:rsidRPr="00B76B19">
        <w:t xml:space="preserve"> </w:t>
      </w:r>
      <w:r w:rsidRPr="00B76B19">
        <w:rPr>
          <w:rFonts w:ascii="Arial" w:hAnsi="Arial" w:cs="Arial"/>
          <w:bCs/>
          <w:spacing w:val="-3"/>
          <w:sz w:val="22"/>
          <w:szCs w:val="22"/>
        </w:rPr>
        <w:t xml:space="preserve">to support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76B19">
        <w:rPr>
          <w:rFonts w:ascii="Arial" w:hAnsi="Arial" w:cs="Arial"/>
          <w:bCs/>
          <w:spacing w:val="-3"/>
          <w:sz w:val="22"/>
          <w:szCs w:val="22"/>
        </w:rPr>
        <w:t>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Government’s response to</w:t>
      </w:r>
      <w:r w:rsidRPr="00B76B19">
        <w:rPr>
          <w:rFonts w:ascii="Arial" w:hAnsi="Arial" w:cs="Arial"/>
          <w:bCs/>
          <w:spacing w:val="-3"/>
          <w:sz w:val="22"/>
          <w:szCs w:val="22"/>
        </w:rPr>
        <w:t xml:space="preserve"> COVID-19 and the Queensland economy and businesses affected by the pandemic</w:t>
      </w:r>
      <w:r>
        <w:rPr>
          <w:rFonts w:ascii="Arial" w:hAnsi="Arial" w:cs="Arial"/>
          <w:bCs/>
          <w:spacing w:val="-3"/>
          <w:sz w:val="22"/>
          <w:szCs w:val="22"/>
        </w:rPr>
        <w:t>. Given the urgency of the amendments, sunset and expiry clauses were inserted into the amending legislation, which are due to expire in September 2021.</w:t>
      </w:r>
    </w:p>
    <w:p w14:paraId="4C91158C" w14:textId="77777777" w:rsidR="005565F5" w:rsidRPr="00CE247A" w:rsidRDefault="005565F5" w:rsidP="00F371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4034">
        <w:rPr>
          <w:rFonts w:ascii="Arial" w:hAnsi="Arial" w:cs="Arial"/>
          <w:bCs/>
          <w:spacing w:val="-3"/>
          <w:sz w:val="22"/>
          <w:szCs w:val="22"/>
        </w:rPr>
        <w:t xml:space="preserve">The public health emergency for COVID-19 continues to require a significant response from the health system and support </w:t>
      </w:r>
      <w:r>
        <w:rPr>
          <w:rFonts w:ascii="Arial" w:hAnsi="Arial" w:cs="Arial"/>
          <w:bCs/>
          <w:spacing w:val="-3"/>
          <w:sz w:val="22"/>
          <w:szCs w:val="22"/>
        </w:rPr>
        <w:t>from across the Queensland Government</w:t>
      </w:r>
      <w:r w:rsidRPr="002E4034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bCs/>
          <w:spacing w:val="-3"/>
          <w:sz w:val="22"/>
          <w:szCs w:val="22"/>
        </w:rPr>
        <w:t>To ensure the Queensland Government can continue to effectively respond to the health and safety risks and the wider impacts of COVID-19, it is necessary to extend the expiry dates of the amendments until 30 April 2022.</w:t>
      </w:r>
    </w:p>
    <w:p w14:paraId="74F47DA3" w14:textId="77777777" w:rsidR="005565F5" w:rsidRDefault="005565F5" w:rsidP="00F371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A75E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Public Health and Other Legislation (Further Extension of Expiring Provisions) Amendment </w:t>
      </w:r>
      <w:r w:rsidRPr="007A75ED">
        <w:rPr>
          <w:rFonts w:ascii="Arial" w:hAnsi="Arial" w:cs="Arial"/>
          <w:bCs/>
          <w:spacing w:val="-3"/>
          <w:sz w:val="22"/>
          <w:szCs w:val="22"/>
        </w:rPr>
        <w:t>Bill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2021:</w:t>
      </w:r>
    </w:p>
    <w:p w14:paraId="6284D7FD" w14:textId="77777777" w:rsidR="005565F5" w:rsidRPr="004B1DB5" w:rsidRDefault="005565F5" w:rsidP="00F3719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1DB5">
        <w:rPr>
          <w:rFonts w:ascii="Arial" w:hAnsi="Arial" w:cs="Arial"/>
          <w:bCs/>
          <w:spacing w:val="-3"/>
          <w:sz w:val="22"/>
          <w:szCs w:val="22"/>
        </w:rPr>
        <w:t>extend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4B1DB5">
        <w:rPr>
          <w:rFonts w:ascii="Arial" w:hAnsi="Arial" w:cs="Arial"/>
          <w:bCs/>
          <w:spacing w:val="-3"/>
          <w:sz w:val="22"/>
          <w:szCs w:val="22"/>
        </w:rPr>
        <w:t xml:space="preserve"> the expiry date for the majority of the COVID-19 legislati</w:t>
      </w:r>
      <w:r>
        <w:rPr>
          <w:rFonts w:ascii="Arial" w:hAnsi="Arial" w:cs="Arial"/>
          <w:bCs/>
          <w:spacing w:val="-3"/>
          <w:sz w:val="22"/>
          <w:szCs w:val="22"/>
        </w:rPr>
        <w:t>on</w:t>
      </w:r>
      <w:r w:rsidRPr="004B1DB5">
        <w:rPr>
          <w:rFonts w:ascii="Arial" w:hAnsi="Arial" w:cs="Arial"/>
          <w:bCs/>
          <w:spacing w:val="-3"/>
          <w:sz w:val="22"/>
          <w:szCs w:val="22"/>
        </w:rPr>
        <w:t xml:space="preserve"> until 30 April 2022, with some measures extended for an extra one to two months to allow a transition period; </w:t>
      </w:r>
    </w:p>
    <w:p w14:paraId="1D5EF5D4" w14:textId="77777777" w:rsidR="005565F5" w:rsidRDefault="005565F5" w:rsidP="00F3719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63E9">
        <w:rPr>
          <w:rFonts w:ascii="Arial" w:hAnsi="Arial" w:cs="Arial"/>
          <w:bCs/>
          <w:spacing w:val="-3"/>
          <w:sz w:val="22"/>
          <w:szCs w:val="22"/>
        </w:rPr>
        <w:t xml:space="preserve">provides for some temporary COVID-19 measures to expire on 30 September 2021; </w:t>
      </w:r>
    </w:p>
    <w:p w14:paraId="5F099597" w14:textId="77777777" w:rsidR="005565F5" w:rsidRDefault="005565F5" w:rsidP="00F3719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63E9">
        <w:rPr>
          <w:rFonts w:ascii="Arial" w:hAnsi="Arial" w:cs="Arial"/>
          <w:bCs/>
          <w:spacing w:val="-3"/>
          <w:sz w:val="22"/>
          <w:szCs w:val="22"/>
        </w:rPr>
        <w:t>makes</w:t>
      </w:r>
      <w:r w:rsidRPr="004B1DB5">
        <w:rPr>
          <w:rFonts w:ascii="Arial" w:hAnsi="Arial" w:cs="Arial"/>
          <w:bCs/>
          <w:spacing w:val="-3"/>
          <w:sz w:val="22"/>
          <w:szCs w:val="22"/>
        </w:rPr>
        <w:t xml:space="preserve"> a</w:t>
      </w:r>
      <w:r>
        <w:rPr>
          <w:rFonts w:ascii="Arial" w:hAnsi="Arial" w:cs="Arial"/>
          <w:bCs/>
          <w:spacing w:val="-3"/>
          <w:sz w:val="22"/>
          <w:szCs w:val="22"/>
        </w:rPr>
        <w:t>n</w:t>
      </w:r>
      <w:r w:rsidRPr="004B1DB5">
        <w:rPr>
          <w:rFonts w:ascii="Arial" w:hAnsi="Arial" w:cs="Arial"/>
          <w:bCs/>
          <w:spacing w:val="-3"/>
          <w:sz w:val="22"/>
          <w:szCs w:val="22"/>
        </w:rPr>
        <w:t xml:space="preserve"> amendment 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Public Health Act </w:t>
      </w:r>
      <w:r w:rsidRPr="001063E9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4B1DB5">
        <w:rPr>
          <w:rFonts w:ascii="Arial" w:hAnsi="Arial" w:cs="Arial"/>
          <w:bCs/>
          <w:spacing w:val="-3"/>
          <w:sz w:val="22"/>
          <w:szCs w:val="22"/>
        </w:rPr>
        <w:t xml:space="preserve">clarify that public health directions may be given </w:t>
      </w:r>
      <w:r w:rsidRPr="001063E9">
        <w:rPr>
          <w:rFonts w:ascii="Arial" w:hAnsi="Arial" w:cs="Arial"/>
          <w:bCs/>
          <w:spacing w:val="-3"/>
          <w:sz w:val="22"/>
          <w:szCs w:val="22"/>
        </w:rPr>
        <w:t>electronically</w:t>
      </w:r>
      <w:r>
        <w:rPr>
          <w:rFonts w:ascii="Arial" w:hAnsi="Arial" w:cs="Arial"/>
          <w:bCs/>
          <w:spacing w:val="-3"/>
          <w:sz w:val="22"/>
          <w:szCs w:val="22"/>
        </w:rPr>
        <w:t>; and</w:t>
      </w:r>
    </w:p>
    <w:p w14:paraId="0DBC97F4" w14:textId="77777777" w:rsidR="005565F5" w:rsidRDefault="005565F5" w:rsidP="00F3719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63E9">
        <w:rPr>
          <w:rFonts w:ascii="Arial" w:hAnsi="Arial" w:cs="Arial"/>
          <w:bCs/>
          <w:spacing w:val="-3"/>
          <w:sz w:val="22"/>
          <w:szCs w:val="22"/>
        </w:rPr>
        <w:t>amends</w:t>
      </w:r>
      <w:r w:rsidRPr="007A75ED">
        <w:rPr>
          <w:rFonts w:ascii="Arial" w:hAnsi="Arial" w:cs="Arial"/>
          <w:bCs/>
          <w:spacing w:val="-3"/>
          <w:sz w:val="22"/>
          <w:szCs w:val="22"/>
        </w:rPr>
        <w:t xml:space="preserve"> the Public Health Act to improve payment and collection of quarantine fees and make the quarantine fee system more adaptable to the changing nature of the COVID-19 emergency.</w:t>
      </w:r>
    </w:p>
    <w:p w14:paraId="171E13CE" w14:textId="68FDC5C9" w:rsidR="005565F5" w:rsidRPr="003E5226" w:rsidRDefault="005565F5" w:rsidP="00F371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63F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introduction of the Public Health and Other Legislation (Further Extension of Expiring Provisions) Amendment Bill 2021</w:t>
      </w:r>
      <w:r w:rsidR="00793CBF">
        <w:rPr>
          <w:rFonts w:ascii="Arial" w:hAnsi="Arial" w:cs="Arial"/>
          <w:bCs/>
          <w:spacing w:val="-3"/>
          <w:sz w:val="22"/>
          <w:szCs w:val="22"/>
        </w:rPr>
        <w:t xml:space="preserve"> in</w:t>
      </w:r>
      <w:r w:rsidR="00B30191">
        <w:rPr>
          <w:rFonts w:ascii="Arial" w:hAnsi="Arial" w:cs="Arial"/>
          <w:bCs/>
          <w:spacing w:val="-3"/>
          <w:sz w:val="22"/>
          <w:szCs w:val="22"/>
        </w:rPr>
        <w:t>to</w:t>
      </w:r>
      <w:r w:rsidR="00793CB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077AA">
        <w:rPr>
          <w:rFonts w:ascii="Arial" w:hAnsi="Arial" w:cs="Arial"/>
          <w:bCs/>
          <w:spacing w:val="-3"/>
          <w:sz w:val="22"/>
          <w:szCs w:val="22"/>
        </w:rPr>
        <w:t>the Legislative Assembly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7EA8718" w14:textId="77777777" w:rsidR="005565F5" w:rsidRDefault="005565F5" w:rsidP="00F3719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077AA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4DABEF" w14:textId="4D3D4DD2" w:rsidR="005565F5" w:rsidRDefault="00FC20D3" w:rsidP="005565F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565F5" w:rsidRPr="005B3922">
          <w:rPr>
            <w:rStyle w:val="Hyperlink"/>
            <w:rFonts w:ascii="Arial" w:hAnsi="Arial" w:cs="Arial"/>
            <w:sz w:val="22"/>
            <w:szCs w:val="22"/>
          </w:rPr>
          <w:t>Public Health and Other Legislation (Further Extension of Expiring Provisions Amendment Bill 2021</w:t>
        </w:r>
      </w:hyperlink>
    </w:p>
    <w:p w14:paraId="6DC9F8B7" w14:textId="4D4EACE2" w:rsidR="005565F5" w:rsidRDefault="00FC20D3" w:rsidP="005565F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565F5" w:rsidRPr="005B392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78577F49" w14:textId="0283A7CC" w:rsidR="005565F5" w:rsidRPr="00B873E0" w:rsidRDefault="00FC20D3" w:rsidP="005565F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5565F5" w:rsidRPr="005B3922">
          <w:rPr>
            <w:rStyle w:val="Hyperlink"/>
            <w:rFonts w:ascii="Arial" w:hAnsi="Arial" w:cs="Arial"/>
            <w:sz w:val="22"/>
            <w:szCs w:val="22"/>
          </w:rPr>
          <w:t>Human Rights Statement of Compatibility</w:t>
        </w:r>
      </w:hyperlink>
    </w:p>
    <w:p w14:paraId="6D8324DE" w14:textId="77777777" w:rsidR="00C845CB" w:rsidRDefault="00C845CB"/>
    <w:sectPr w:rsidR="00C845CB" w:rsidSect="00F37191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BE83" w14:textId="77777777" w:rsidR="00BD3302" w:rsidRDefault="00BD3302" w:rsidP="00685D54">
      <w:r>
        <w:separator/>
      </w:r>
    </w:p>
  </w:endnote>
  <w:endnote w:type="continuationSeparator" w:id="0">
    <w:p w14:paraId="58E8FADF" w14:textId="77777777" w:rsidR="00BD3302" w:rsidRDefault="00BD3302" w:rsidP="0068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57B1" w14:textId="77777777" w:rsidR="00BD3302" w:rsidRDefault="00BD3302" w:rsidP="00685D54">
      <w:r>
        <w:separator/>
      </w:r>
    </w:p>
  </w:footnote>
  <w:footnote w:type="continuationSeparator" w:id="0">
    <w:p w14:paraId="3ECE4488" w14:textId="77777777" w:rsidR="00BD3302" w:rsidRDefault="00BD3302" w:rsidP="0068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D4BE" w14:textId="77777777" w:rsidR="00685D54" w:rsidRPr="00685D54" w:rsidRDefault="00685D54" w:rsidP="00685D54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153"/>
        <w:tab w:val="center" w:pos="4819"/>
        <w:tab w:val="right" w:pos="8306"/>
        <w:tab w:val="right" w:pos="9072"/>
      </w:tabs>
      <w:rPr>
        <w:rFonts w:ascii="Arial" w:hAnsi="Arial" w:cs="Arial"/>
        <w:b/>
        <w:color w:val="auto"/>
        <w:sz w:val="28"/>
        <w:szCs w:val="22"/>
      </w:rPr>
    </w:pPr>
    <w:r w:rsidRPr="00685D54">
      <w:rPr>
        <w:rFonts w:ascii="Arial" w:hAnsi="Arial" w:cs="Arial"/>
        <w:b/>
        <w:color w:val="auto"/>
        <w:sz w:val="28"/>
        <w:szCs w:val="22"/>
      </w:rPr>
      <w:tab/>
    </w:r>
    <w:r w:rsidRPr="00685D54">
      <w:rPr>
        <w:rFonts w:ascii="Arial" w:hAnsi="Arial" w:cs="Arial"/>
        <w:b/>
        <w:color w:val="auto"/>
        <w:sz w:val="28"/>
        <w:szCs w:val="22"/>
      </w:rPr>
      <w:tab/>
      <w:t>Queensland Government</w:t>
    </w:r>
  </w:p>
  <w:p w14:paraId="1F5536F2" w14:textId="77777777" w:rsidR="00685D54" w:rsidRPr="00685D54" w:rsidRDefault="00685D54" w:rsidP="00685D54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153"/>
        <w:tab w:val="right" w:pos="8306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</w:rPr>
    </w:pPr>
  </w:p>
  <w:p w14:paraId="2329A50E" w14:textId="1AC57100" w:rsidR="00685D54" w:rsidRPr="00685D54" w:rsidRDefault="00685D54" w:rsidP="00685D54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center" w:pos="4153"/>
        <w:tab w:val="right" w:pos="8306"/>
        <w:tab w:val="right" w:pos="9072"/>
      </w:tabs>
      <w:jc w:val="center"/>
      <w:rPr>
        <w:rFonts w:ascii="Arial" w:hAnsi="Arial" w:cs="Arial"/>
        <w:b/>
        <w:color w:val="auto"/>
        <w:sz w:val="22"/>
        <w:szCs w:val="22"/>
      </w:rPr>
    </w:pPr>
    <w:r w:rsidRPr="00685D54">
      <w:rPr>
        <w:rFonts w:ascii="Arial" w:hAnsi="Arial" w:cs="Arial"/>
        <w:b/>
        <w:color w:val="auto"/>
        <w:sz w:val="22"/>
        <w:szCs w:val="22"/>
      </w:rPr>
      <w:t xml:space="preserve">Cabinet – </w:t>
    </w:r>
    <w:r w:rsidR="00580C0C">
      <w:rPr>
        <w:rFonts w:ascii="Arial" w:hAnsi="Arial" w:cs="Arial"/>
        <w:b/>
        <w:color w:val="auto"/>
        <w:sz w:val="22"/>
        <w:szCs w:val="22"/>
      </w:rPr>
      <w:t>Ju</w:t>
    </w:r>
    <w:r w:rsidR="00942DD0">
      <w:rPr>
        <w:rFonts w:ascii="Arial" w:hAnsi="Arial" w:cs="Arial"/>
        <w:b/>
        <w:color w:val="auto"/>
        <w:sz w:val="22"/>
        <w:szCs w:val="22"/>
      </w:rPr>
      <w:t>ne</w:t>
    </w:r>
    <w:r w:rsidRPr="00685D54">
      <w:rPr>
        <w:rFonts w:ascii="Arial" w:hAnsi="Arial" w:cs="Arial"/>
        <w:b/>
        <w:color w:val="auto"/>
        <w:sz w:val="22"/>
        <w:szCs w:val="22"/>
      </w:rPr>
      <w:t xml:space="preserve"> 2021</w:t>
    </w:r>
  </w:p>
  <w:p w14:paraId="0FADBF7A" w14:textId="77777777" w:rsidR="00685D54" w:rsidRPr="00685D54" w:rsidRDefault="00685D54" w:rsidP="00685D54">
    <w:pPr>
      <w:tabs>
        <w:tab w:val="center" w:pos="4153"/>
        <w:tab w:val="right" w:pos="8306"/>
      </w:tabs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685D54">
      <w:rPr>
        <w:rFonts w:ascii="Arial" w:hAnsi="Arial" w:cs="Arial"/>
        <w:b/>
        <w:color w:val="auto"/>
        <w:sz w:val="22"/>
        <w:szCs w:val="22"/>
        <w:u w:val="single"/>
      </w:rPr>
      <w:t>Public Health and Other Legislation (Further Extension of Expiring Provisions) Amendment Bill 2021</w:t>
    </w:r>
  </w:p>
  <w:p w14:paraId="17975BB0" w14:textId="77777777" w:rsidR="00685D54" w:rsidRPr="00685D54" w:rsidRDefault="00685D54" w:rsidP="00685D54">
    <w:pPr>
      <w:tabs>
        <w:tab w:val="center" w:pos="4153"/>
        <w:tab w:val="right" w:pos="8306"/>
      </w:tabs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685D54">
      <w:rPr>
        <w:rFonts w:ascii="Arial" w:hAnsi="Arial" w:cs="Arial"/>
        <w:b/>
        <w:color w:val="auto"/>
        <w:sz w:val="22"/>
        <w:szCs w:val="22"/>
        <w:u w:val="single"/>
      </w:rPr>
      <w:t>Minister for Health and Ambulance Services and Leader of the House</w:t>
    </w:r>
  </w:p>
  <w:p w14:paraId="24A53F26" w14:textId="77777777" w:rsidR="00685D54" w:rsidRPr="00685D54" w:rsidRDefault="00685D54" w:rsidP="00685D54">
    <w:pPr>
      <w:pBdr>
        <w:bottom w:val="single" w:sz="4" w:space="1" w:color="auto"/>
      </w:pBdr>
      <w:tabs>
        <w:tab w:val="center" w:pos="4153"/>
        <w:tab w:val="right" w:pos="8306"/>
      </w:tabs>
      <w:rPr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6"/>
    <w:rsid w:val="00265ECC"/>
    <w:rsid w:val="00290326"/>
    <w:rsid w:val="002A1E9D"/>
    <w:rsid w:val="002C240D"/>
    <w:rsid w:val="003502BA"/>
    <w:rsid w:val="003C3A08"/>
    <w:rsid w:val="00411B18"/>
    <w:rsid w:val="004C1426"/>
    <w:rsid w:val="005565F5"/>
    <w:rsid w:val="00580C0C"/>
    <w:rsid w:val="005B3922"/>
    <w:rsid w:val="006077AA"/>
    <w:rsid w:val="006601FD"/>
    <w:rsid w:val="00685D54"/>
    <w:rsid w:val="00793CBF"/>
    <w:rsid w:val="007C6291"/>
    <w:rsid w:val="00942DD0"/>
    <w:rsid w:val="009A3FE2"/>
    <w:rsid w:val="009D104F"/>
    <w:rsid w:val="00A079CB"/>
    <w:rsid w:val="00A769F0"/>
    <w:rsid w:val="00B30191"/>
    <w:rsid w:val="00BD3302"/>
    <w:rsid w:val="00C845CB"/>
    <w:rsid w:val="00CE0D90"/>
    <w:rsid w:val="00D738CC"/>
    <w:rsid w:val="00DC0C45"/>
    <w:rsid w:val="00F37191"/>
    <w:rsid w:val="00F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D5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54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85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54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85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54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5B3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D2685-3848-4A10-BA4F-23FF77BBE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6065A-7FE8-4BFE-9ABC-B13AF1744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3AE9B2-0F68-456C-8A51-BBE8C691E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270</Words>
  <Characters>1493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Base>https://www.cabinet.qld.gov.au/documents/2021/Jun/PHOLAB 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2021-05-30T08:55:00Z</dcterms:created>
  <dcterms:modified xsi:type="dcterms:W3CDTF">2022-02-21T22:38:00Z</dcterms:modified>
  <cp:category>covid-19,Health,Legislation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